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trPr>
          <w:trHeight w:val="1080"/>
        </w:trPr>
        <w:tc>
          <w:tcPr>
            <w:tcW w:w="3686" w:type="dxa"/>
            <w:shd w:val="clear" w:color="auto" w:fill="auto"/>
          </w:tcPr>
          <w:p>
            <w:pPr>
              <w:tabs>
                <w:tab w:val="left" w:pos="2307"/>
              </w:tabs>
              <w:jc w:val="center"/>
              <w:rPr>
                <w:b/>
                <w:sz w:val="26"/>
                <w:szCs w:val="26"/>
              </w:rPr>
            </w:pPr>
            <w:r>
              <w:rPr>
                <w:b/>
                <w:sz w:val="26"/>
                <w:szCs w:val="26"/>
              </w:rPr>
              <w:t xml:space="preserve">ỦY BAN NHÂN DÂN </w:t>
            </w:r>
          </w:p>
          <w:p>
            <w:pPr>
              <w:jc w:val="center"/>
              <w:rPr>
                <w:b/>
                <w:sz w:val="26"/>
                <w:szCs w:val="26"/>
              </w:rPr>
            </w:pPr>
            <w:r>
              <w:rPr>
                <w:b/>
                <w:sz w:val="26"/>
                <w:szCs w:val="26"/>
              </w:rPr>
              <w:t>XÃ KỲ THỌ</w:t>
            </w:r>
          </w:p>
          <w:p>
            <w:pPr>
              <w:spacing w:before="120" w:after="120"/>
              <w:jc w:val="center"/>
              <w:rPr>
                <w:sz w:val="26"/>
                <w:szCs w:val="26"/>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803910</wp:posOffset>
                      </wp:positionH>
                      <wp:positionV relativeFrom="paragraph">
                        <wp:posOffset>10159</wp:posOffset>
                      </wp:positionV>
                      <wp:extent cx="59055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CBC658"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8pt" to="10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">
                      <o:lock v:ext="edit" shapetype="f"/>
                    </v:line>
                  </w:pict>
                </mc:Fallback>
              </mc:AlternateContent>
            </w:r>
            <w:r>
              <w:rPr>
                <w:sz w:val="26"/>
                <w:szCs w:val="26"/>
              </w:rPr>
              <w:t>Số:       /UBND-CA</w:t>
            </w:r>
          </w:p>
          <w:p>
            <w:pPr>
              <w:tabs>
                <w:tab w:val="center" w:pos="1877"/>
              </w:tabs>
              <w:spacing w:before="60"/>
              <w:jc w:val="center"/>
              <w:rPr>
                <w:sz w:val="26"/>
                <w:szCs w:val="26"/>
                <w:lang w:val="vi-VN"/>
              </w:rPr>
            </w:pPr>
            <w:r>
              <w:rPr>
                <w:sz w:val="26"/>
                <w:szCs w:val="26"/>
              </w:rPr>
              <w:t xml:space="preserve">V/v </w:t>
            </w:r>
            <w:r>
              <w:rPr>
                <w:sz w:val="26"/>
                <w:szCs w:val="26"/>
                <w:lang w:val="vi-VN"/>
              </w:rPr>
              <w:t>tăng cường công tác phòng chống đuối nước ở trẻ em</w:t>
            </w:r>
          </w:p>
        </w:tc>
        <w:tc>
          <w:tcPr>
            <w:tcW w:w="5670" w:type="dxa"/>
            <w:shd w:val="clear" w:color="auto" w:fill="auto"/>
          </w:tcPr>
          <w:p>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pPr>
              <w:jc w:val="center"/>
              <w:rPr>
                <w:b/>
              </w:rPr>
            </w:pPr>
            <w:r>
              <w:rPr>
                <w:b/>
              </w:rPr>
              <w:t>Độc lập - Tự do - Hạnh phúc</w:t>
            </w:r>
          </w:p>
          <w:p>
            <w:pPr>
              <w:spacing w:before="120"/>
              <w:jc w:val="center"/>
              <w:rPr>
                <w:i/>
                <w:sz w:val="26"/>
                <w:szCs w:val="26"/>
              </w:rPr>
            </w:pPr>
            <w:r>
              <w:rPr>
                <w:noProof/>
                <w:sz w:val="36"/>
              </w:rPr>
              <mc:AlternateContent>
                <mc:Choice Requires="wps">
                  <w:drawing>
                    <wp:anchor distT="4294967295" distB="4294967295" distL="114300" distR="114300" simplePos="0" relativeHeight="251659776" behindDoc="0" locked="0" layoutInCell="1" allowOverlap="1">
                      <wp:simplePos x="0" y="0"/>
                      <wp:positionH relativeFrom="column">
                        <wp:posOffset>690245</wp:posOffset>
                      </wp:positionH>
                      <wp:positionV relativeFrom="paragraph">
                        <wp:posOffset>15874</wp:posOffset>
                      </wp:positionV>
                      <wp:extent cx="212471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A172B" id="Line 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25pt" to="22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"/>
                  </w:pict>
                </mc:Fallback>
              </mc:AlternateContent>
            </w:r>
            <w:r>
              <w:rPr>
                <w:i/>
              </w:rPr>
              <w:t>Kỳ Thọ, ngày</w:t>
            </w:r>
            <w:r>
              <w:rPr>
                <w:i/>
                <w:lang w:val="vi-VN"/>
              </w:rPr>
              <w:t xml:space="preserve"> </w:t>
            </w:r>
            <w:r>
              <w:rPr>
                <w:i/>
              </w:rPr>
              <w:t>21</w:t>
            </w:r>
            <w:r>
              <w:rPr>
                <w:i/>
                <w:lang w:val="vi-VN"/>
              </w:rPr>
              <w:t xml:space="preserve"> </w:t>
            </w:r>
            <w:r>
              <w:rPr>
                <w:i/>
              </w:rPr>
              <w:t xml:space="preserve">tháng </w:t>
            </w:r>
            <w:r>
              <w:rPr>
                <w:i/>
                <w:lang w:val="vi-VN"/>
              </w:rPr>
              <w:t>6</w:t>
            </w:r>
            <w:r>
              <w:rPr>
                <w:i/>
              </w:rPr>
              <w:t xml:space="preserve"> năm 2024</w:t>
            </w:r>
          </w:p>
        </w:tc>
      </w:tr>
    </w:tbl>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40"/>
      </w:tblGrid>
      <w:tr>
        <w:trPr>
          <w:jc w:val="right"/>
        </w:trPr>
        <w:tc>
          <w:tcPr>
            <w:tcW w:w="2835" w:type="dxa"/>
          </w:tcPr>
          <w:p>
            <w:pPr>
              <w:spacing w:before="360"/>
              <w:jc w:val="right"/>
              <w:rPr>
                <w:rFonts w:eastAsia="Times New Roman"/>
                <w:b/>
              </w:rPr>
            </w:pPr>
            <w:r>
              <w:rPr>
                <w:b/>
              </w:rPr>
              <w:t xml:space="preserve">        Kính gửi:</w:t>
            </w:r>
          </w:p>
        </w:tc>
        <w:tc>
          <w:tcPr>
            <w:tcW w:w="6340" w:type="dxa"/>
          </w:tcPr>
          <w:p>
            <w:pPr>
              <w:tabs>
                <w:tab w:val="left" w:pos="567"/>
              </w:tabs>
              <w:jc w:val="both"/>
            </w:pPr>
          </w:p>
        </w:tc>
      </w:tr>
      <w:tr>
        <w:trPr>
          <w:jc w:val="right"/>
        </w:trPr>
        <w:tc>
          <w:tcPr>
            <w:tcW w:w="2835" w:type="dxa"/>
          </w:tcPr>
          <w:p>
            <w:pPr>
              <w:tabs>
                <w:tab w:val="left" w:pos="567"/>
              </w:tabs>
              <w:spacing w:line="276" w:lineRule="auto"/>
              <w:jc w:val="both"/>
            </w:pPr>
          </w:p>
        </w:tc>
        <w:tc>
          <w:tcPr>
            <w:tcW w:w="6340" w:type="dxa"/>
          </w:tcPr>
          <w:p>
            <w:pPr>
              <w:spacing w:line="276" w:lineRule="auto"/>
              <w:jc w:val="both"/>
            </w:pPr>
            <w:r>
              <w:t>- Các phòng, ban, ngành, đoàn thể thuộc UBND xã;</w:t>
            </w:r>
          </w:p>
        </w:tc>
      </w:tr>
      <w:tr>
        <w:trPr>
          <w:jc w:val="right"/>
        </w:trPr>
        <w:tc>
          <w:tcPr>
            <w:tcW w:w="2835" w:type="dxa"/>
          </w:tcPr>
          <w:p>
            <w:pPr>
              <w:tabs>
                <w:tab w:val="left" w:pos="567"/>
              </w:tabs>
              <w:spacing w:line="276" w:lineRule="auto"/>
              <w:jc w:val="both"/>
            </w:pPr>
          </w:p>
        </w:tc>
        <w:tc>
          <w:tcPr>
            <w:tcW w:w="6340" w:type="dxa"/>
          </w:tcPr>
          <w:p>
            <w:pPr>
              <w:spacing w:line="276" w:lineRule="auto"/>
              <w:jc w:val="both"/>
              <w:rPr>
                <w:rFonts w:eastAsia="Times New Roman"/>
              </w:rPr>
            </w:pPr>
            <w:r>
              <w:t>- Các cơ quan, đơn vị, doanh nghiệp trên địa bàn.</w:t>
            </w:r>
          </w:p>
        </w:tc>
      </w:tr>
      <w:tr>
        <w:trPr>
          <w:jc w:val="right"/>
        </w:trPr>
        <w:tc>
          <w:tcPr>
            <w:tcW w:w="2835" w:type="dxa"/>
          </w:tcPr>
          <w:p>
            <w:pPr>
              <w:tabs>
                <w:tab w:val="left" w:pos="567"/>
              </w:tabs>
              <w:spacing w:line="276" w:lineRule="auto"/>
              <w:jc w:val="both"/>
            </w:pPr>
          </w:p>
        </w:tc>
        <w:tc>
          <w:tcPr>
            <w:tcW w:w="6340" w:type="dxa"/>
          </w:tcPr>
          <w:p>
            <w:pPr>
              <w:spacing w:line="276" w:lineRule="auto"/>
              <w:jc w:val="both"/>
            </w:pPr>
          </w:p>
        </w:tc>
      </w:tr>
    </w:tbl>
    <w:p>
      <w:pPr>
        <w:tabs>
          <w:tab w:val="center" w:pos="709"/>
        </w:tabs>
        <w:jc w:val="both"/>
      </w:pPr>
      <w:r>
        <w:tab/>
      </w:r>
      <w:r>
        <w:tab/>
        <w:t xml:space="preserve">Thực hiện </w:t>
      </w:r>
      <w:r>
        <w:rPr>
          <w:bCs/>
        </w:rPr>
        <w:t xml:space="preserve">Công văn số </w:t>
      </w:r>
      <w:r>
        <w:rPr>
          <w:lang w:val="vi-VN"/>
        </w:rPr>
        <w:t>369</w:t>
      </w:r>
      <w:r>
        <w:t>/</w:t>
      </w:r>
      <w:r>
        <w:rPr>
          <w:lang w:val="vi-VN"/>
        </w:rPr>
        <w:t>CAH-QLHC</w:t>
      </w:r>
      <w:r>
        <w:t xml:space="preserve"> ngày </w:t>
      </w:r>
      <w:r>
        <w:rPr>
          <w:lang w:val="vi-VN"/>
        </w:rPr>
        <w:t>12</w:t>
      </w:r>
      <w:r>
        <w:t>/</w:t>
      </w:r>
      <w:r>
        <w:rPr>
          <w:lang w:val="vi-VN"/>
        </w:rPr>
        <w:t>6</w:t>
      </w:r>
      <w:r>
        <w:t xml:space="preserve">/2024 của </w:t>
      </w:r>
      <w:r>
        <w:rPr>
          <w:lang w:val="vi-VN"/>
        </w:rPr>
        <w:t xml:space="preserve">Công an huyện Kỳ Anh về việc </w:t>
      </w:r>
      <w:r>
        <w:t xml:space="preserve"> </w:t>
      </w:r>
      <w:r>
        <w:rPr>
          <w:lang w:val="vi-VN"/>
        </w:rPr>
        <w:t>tăng cường công tác phòng chống đuối nước ở trẻ em</w:t>
      </w:r>
      <w:r>
        <w:t>,</w:t>
      </w:r>
      <w:bookmarkStart w:id="0" w:name="_GoBack"/>
      <w:bookmarkEnd w:id="0"/>
      <w:r>
        <w:rPr>
          <w:bCs/>
          <w:i/>
        </w:rPr>
        <w:t xml:space="preserve"> </w:t>
      </w:r>
      <w:r>
        <w:t>Ủy ban nhân dân xã Kỳ Thọ yêu cầu:</w:t>
      </w:r>
    </w:p>
    <w:p>
      <w:pPr>
        <w:tabs>
          <w:tab w:val="center" w:pos="709"/>
        </w:tabs>
        <w:jc w:val="both"/>
        <w:rPr>
          <w:lang w:val="vi-VN"/>
        </w:rPr>
      </w:pPr>
      <w:r>
        <w:tab/>
      </w:r>
      <w:r>
        <w:tab/>
      </w:r>
      <w:r>
        <w:rPr>
          <w:b/>
          <w:lang w:val="vi-VN"/>
        </w:rPr>
        <w:t>I. NỘI DUNG YÊU CẦU</w:t>
      </w:r>
      <w:r>
        <w:rPr>
          <w:b/>
        </w:rPr>
        <w:t xml:space="preserve"> </w:t>
      </w:r>
    </w:p>
    <w:p>
      <w:pPr>
        <w:tabs>
          <w:tab w:val="center" w:pos="709"/>
        </w:tabs>
        <w:jc w:val="both"/>
        <w:rPr>
          <w:lang w:val="vi-VN"/>
        </w:rPr>
      </w:pPr>
      <w:r>
        <w:rPr>
          <w:b/>
        </w:rPr>
        <w:tab/>
      </w:r>
      <w:r>
        <w:rPr>
          <w:b/>
        </w:rPr>
        <w:tab/>
      </w:r>
      <w:r>
        <w:rPr>
          <w:b/>
          <w:lang w:val="vi-VN"/>
        </w:rPr>
        <w:t>1.</w:t>
      </w:r>
      <w:r>
        <w:rPr>
          <w:lang w:val="vi-VN"/>
        </w:rPr>
        <w:t xml:space="preserve"> Thực hiện nghiêm Chị Thị số 23/CT-TTg ngày 25/5/2020 của Thủ tướng Chính phủ về tăng cường các giải pháp bảo đảm thực hiện quyền trẻ em và bảo vệ trẻ em, đặc biệt chú trọng công tác phòng, chống tai nạn thương tích, phòng chốngđuối nước ở trẻ em và </w:t>
      </w:r>
      <w:r>
        <w:t>Nghị định số 83/NĐ-CP ngày 18/7/2017 của Chính phủ quy định về công tác cứu nạn, cứu hộ của lực lượng phòng cháy và chữa cháy; tăng cường các biện pháp nâng cao hiệu quả công tác phòng ngừa, ứng phó sự cố, tai nạn đuối nước trên sông, suối, thác nước, hồ, ao, giếng nước, hầm hố sâu, bãi tắm, khu du lịch…</w:t>
      </w:r>
    </w:p>
    <w:p>
      <w:pPr>
        <w:tabs>
          <w:tab w:val="center" w:pos="709"/>
        </w:tabs>
        <w:jc w:val="both"/>
        <w:rPr>
          <w:lang w:val="vi-VN"/>
        </w:rPr>
      </w:pPr>
      <w:r>
        <w:rPr>
          <w:b/>
        </w:rPr>
        <w:tab/>
      </w:r>
      <w:r>
        <w:rPr>
          <w:b/>
        </w:rPr>
        <w:tab/>
      </w:r>
      <w:r>
        <w:rPr>
          <w:b/>
          <w:lang w:val="vi-VN"/>
        </w:rPr>
        <w:t>2.</w:t>
      </w:r>
      <w:r>
        <w:rPr>
          <w:lang w:val="vi-VN"/>
        </w:rPr>
        <w:t xml:space="preserve"> Tiếp tục tăng cường công tác tuyên truyền, nâng cao nhận thức, trách nhiệm của cá nhân, gia đình, nhà trường, các cơ quan, đơn vị và toàn xã hội về phòng, chống tai nạn, thương tích, đặc biệt là phòng, chống đuuói nước trẻ em.</w:t>
      </w:r>
    </w:p>
    <w:p>
      <w:pPr>
        <w:tabs>
          <w:tab w:val="center" w:pos="709"/>
        </w:tabs>
        <w:jc w:val="both"/>
        <w:rPr>
          <w:lang w:val="vi-VN"/>
        </w:rPr>
      </w:pPr>
      <w:r>
        <w:rPr>
          <w:b/>
        </w:rPr>
        <w:tab/>
      </w:r>
      <w:r>
        <w:rPr>
          <w:b/>
        </w:rPr>
        <w:tab/>
      </w:r>
      <w:r>
        <w:rPr>
          <w:b/>
          <w:lang w:val="vi-VN"/>
        </w:rPr>
        <w:t>3.</w:t>
      </w:r>
      <w:r>
        <w:rPr>
          <w:lang w:val="vi-VN"/>
        </w:rPr>
        <w:t xml:space="preserve"> Tăng cường công tác phối hợp giữa gia đình, nhà trường và chính quyền địa phương trong quản lý, giám sát trẻ em và tổ chức các hoạt vui chơi, giải trí, sinh hoạt hè.</w:t>
      </w:r>
    </w:p>
    <w:p>
      <w:pPr>
        <w:tabs>
          <w:tab w:val="center" w:pos="709"/>
        </w:tabs>
        <w:jc w:val="both"/>
        <w:rPr>
          <w:b/>
          <w:lang w:val="vi-VN"/>
        </w:rPr>
      </w:pPr>
      <w:r>
        <w:rPr>
          <w:b/>
        </w:rPr>
        <w:tab/>
      </w:r>
      <w:r>
        <w:rPr>
          <w:b/>
        </w:rPr>
        <w:tab/>
      </w:r>
      <w:r>
        <w:rPr>
          <w:b/>
          <w:lang w:val="vi-VN"/>
        </w:rPr>
        <w:t>II. NHIỆM VỤ GIẢI PHÁP</w:t>
      </w:r>
    </w:p>
    <w:p>
      <w:pPr>
        <w:spacing w:after="120"/>
        <w:ind w:firstLine="720"/>
        <w:jc w:val="both"/>
      </w:pPr>
      <w:r>
        <w:rPr>
          <w:b/>
        </w:rPr>
        <w:t>1.</w:t>
      </w:r>
      <w:r>
        <w:t xml:space="preserve"> Phối hợp với các cơ quan chức năng trên địa bàn rà soát, xây dựng nội dung về kiến thức pháp luật, kỹ năng phòng, chống đuối nước, một số nguyên nhân dẫn đến đuối nước và kỹ năng sơ, cấp cứu đuối nước để tổ chức tuyên truyền thường xuyên </w:t>
      </w:r>
      <w:r>
        <w:rPr>
          <w:i/>
        </w:rPr>
        <w:t>(nhất là vào các dịp nghỉ hè, nghỉ lễ, Tết)</w:t>
      </w:r>
      <w:r>
        <w:t xml:space="preserve"> trên các phương tiện thông tin đại chúng, trên mạng xã hội, Website,… với nhiều hình thức phong phú, đa dạng nhằm thu hút sự quan tâm của quần chúng nhân dân, nhất là các bậc phụ huynh, học sinh. Tham mưu UBND cùng cấp chỉ đạo và phối hợp tổ chức tuyên truyền trực tiếp tại khu dân cư, trường học, nơi có các khu vực đã từng xảy ra hoặc tiềm ẩn nguy cơ xảy ra đuối nước thông qua các hình thức như: loa phát thanh, niêm yết trên bảng tin, phát tờ rơi khuyến cáo, tổ chức ký cam kết đến các nhà trường, hộ gia đình về đảm bảo an toàn phòng chống đuối nước trẻ em.</w:t>
      </w:r>
    </w:p>
    <w:p>
      <w:pPr>
        <w:ind w:firstLine="720"/>
        <w:jc w:val="both"/>
        <w:rPr>
          <w:lang w:val="vi-VN"/>
        </w:rPr>
      </w:pPr>
      <w:r>
        <w:rPr>
          <w:b/>
          <w:spacing w:val="-2"/>
        </w:rPr>
        <w:t xml:space="preserve">2. </w:t>
      </w:r>
      <w:r>
        <w:rPr>
          <w:spacing w:val="-2"/>
        </w:rPr>
        <w:t xml:space="preserve">Phối hợp với ngành Giáo dục tổ chức tuyên truyền cho học sinh và cung cấp thông tin cho các nhà trường để thông báo, nhắc nhở học sinh các cấp học về tình hình, nguy cơ xảy ra đuối nước trên địa bàn, các địa điểm cấm bơi, lội, nơi có </w:t>
      </w:r>
      <w:r>
        <w:rPr>
          <w:spacing w:val="-2"/>
        </w:rPr>
        <w:lastRenderedPageBreak/>
        <w:t>biển cảnh cáo để học sinh không đến gần nhằm phòng, tránh tai nạn đuối nước; tổ chức lực lượng Công an cơ sở phối hợp với các lực lượng có liên quan thường xuyên tổ chức tuần tra, kiểm soát, nhắc nhở xử lý, ngăn chặn nguy cơ xảy ra đuối nước trẻ em</w:t>
      </w:r>
      <w:r>
        <w:t>.</w:t>
      </w:r>
    </w:p>
    <w:p>
      <w:pPr>
        <w:ind w:firstLine="720"/>
        <w:jc w:val="both"/>
        <w:rPr>
          <w:lang w:val="vi-VN"/>
        </w:rPr>
      </w:pPr>
      <w:r>
        <w:rPr>
          <w:lang w:val="vi-VN"/>
        </w:rPr>
        <w:t>3. Tập trung khắc phục những tồn tại, hạn chế trong công tác phòng, chống đuối nước trên địa bàn; thành lập các tổ, nhóm tuần tra, giám sát các khu vứ nguy hiểm hoặc thường cuyên xảy ra tai nạn đuối nước. Gắn trách nhiệm với người đứng đầu trong công tác phòng, chống đuối nước.</w:t>
      </w:r>
    </w:p>
    <w:p>
      <w:pPr>
        <w:ind w:firstLine="720"/>
        <w:jc w:val="both"/>
        <w:rPr>
          <w:lang w:val="vi-VN"/>
        </w:rPr>
      </w:pPr>
      <w:r>
        <w:rPr>
          <w:lang w:val="vi-VN"/>
        </w:rPr>
        <w:t>4. Rà soát các khu vực, địa điểm có nguy cơ cao xảy ra nạn đuối nước như bãi tắm, sông, hồ...; kịp thời triển khai các giải pháp khắc phục như xây dựng lan can, lập rào chắn, biển cảnh báo, nhằm bảo đảm an toàn cho trẻ em.</w:t>
      </w:r>
    </w:p>
    <w:p>
      <w:pPr>
        <w:ind w:firstLine="720"/>
        <w:jc w:val="both"/>
        <w:rPr>
          <w:lang w:val="vi-VN"/>
        </w:rPr>
      </w:pPr>
      <w:r>
        <w:rPr>
          <w:lang w:val="vi-VN"/>
        </w:rPr>
        <w:t>5. Thường xuyên kiểm tra việc chấp hành các quy định của pháp luật về phòng, chống đuuói nước trẻ em xảy ra.</w:t>
      </w:r>
    </w:p>
    <w:p>
      <w:pPr>
        <w:spacing w:before="120" w:after="120" w:line="276" w:lineRule="auto"/>
        <w:ind w:firstLine="720"/>
        <w:jc w:val="both"/>
        <w:rPr>
          <w:spacing w:val="-2"/>
        </w:rPr>
      </w:pPr>
      <w:r>
        <w:rPr>
          <w:spacing w:val="-2"/>
        </w:rPr>
        <w:t>Quá trình thực hiện, có khó khăn, vướng mắc, các đơn vị, địa phương kịp thời phản ánh về Ủy ban nhân dân xã (</w:t>
      </w:r>
      <w:r>
        <w:rPr>
          <w:i/>
          <w:spacing w:val="-2"/>
        </w:rPr>
        <w:t>qua Công an xã</w:t>
      </w:r>
      <w:r>
        <w:rPr>
          <w:spacing w:val="-2"/>
        </w:rPr>
        <w:t>) để được hướng dẫn./.</w:t>
      </w:r>
    </w:p>
    <w:p>
      <w:pPr>
        <w:spacing w:before="120"/>
        <w:ind w:firstLine="720"/>
        <w:jc w:val="both"/>
        <w:rPr>
          <w:sz w:val="2"/>
        </w:rPr>
      </w:pP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rPr>
                <w:b/>
                <w:i/>
                <w:spacing w:val="6"/>
                <w:sz w:val="24"/>
                <w:szCs w:val="24"/>
              </w:rPr>
            </w:pPr>
            <w:r>
              <w:rPr>
                <w:b/>
                <w:i/>
                <w:spacing w:val="6"/>
                <w:sz w:val="24"/>
                <w:szCs w:val="24"/>
              </w:rPr>
              <w:t>Nơi nhận:</w:t>
            </w:r>
          </w:p>
          <w:p>
            <w:pPr>
              <w:rPr>
                <w:sz w:val="22"/>
                <w:szCs w:val="22"/>
              </w:rPr>
            </w:pPr>
            <w:r>
              <w:rPr>
                <w:sz w:val="22"/>
                <w:szCs w:val="22"/>
              </w:rPr>
              <w:t xml:space="preserve">- Như kính gửi (để báo cáo và thực hiện); </w:t>
            </w:r>
          </w:p>
          <w:p>
            <w:pPr>
              <w:rPr>
                <w:sz w:val="22"/>
                <w:szCs w:val="22"/>
              </w:rPr>
            </w:pPr>
            <w:r>
              <w:rPr>
                <w:sz w:val="22"/>
                <w:szCs w:val="22"/>
              </w:rPr>
              <w:t>- Lưu: VT, CA.</w:t>
            </w:r>
          </w:p>
          <w:p>
            <w:pPr>
              <w:rPr>
                <w:spacing w:val="6"/>
              </w:rPr>
            </w:pPr>
          </w:p>
        </w:tc>
        <w:tc>
          <w:tcPr>
            <w:tcW w:w="4298" w:type="dxa"/>
          </w:tcPr>
          <w:p>
            <w:pPr>
              <w:jc w:val="center"/>
              <w:rPr>
                <w:b/>
                <w:spacing w:val="6"/>
              </w:rPr>
            </w:pPr>
            <w:r>
              <w:rPr>
                <w:b/>
                <w:spacing w:val="6"/>
              </w:rPr>
              <w:t>TM. UỶ BAN NHÂN DÂN</w:t>
            </w:r>
          </w:p>
          <w:p>
            <w:pPr>
              <w:jc w:val="center"/>
              <w:rPr>
                <w:b/>
                <w:spacing w:val="6"/>
              </w:rPr>
            </w:pPr>
            <w:r>
              <w:rPr>
                <w:b/>
                <w:spacing w:val="6"/>
              </w:rPr>
              <w:t>CHỦ TỊCH</w:t>
            </w:r>
          </w:p>
          <w:p>
            <w:pPr>
              <w:jc w:val="center"/>
              <w:rPr>
                <w:b/>
                <w:spacing w:val="6"/>
              </w:rPr>
            </w:pPr>
          </w:p>
          <w:p>
            <w:pPr>
              <w:jc w:val="center"/>
              <w:rPr>
                <w:b/>
                <w:spacing w:val="6"/>
              </w:rPr>
            </w:pPr>
          </w:p>
          <w:p>
            <w:pPr>
              <w:jc w:val="center"/>
              <w:rPr>
                <w:b/>
                <w:spacing w:val="6"/>
              </w:rPr>
            </w:pPr>
          </w:p>
          <w:p>
            <w:pPr>
              <w:jc w:val="center"/>
              <w:rPr>
                <w:b/>
                <w:spacing w:val="6"/>
              </w:rPr>
            </w:pPr>
          </w:p>
          <w:p>
            <w:pPr>
              <w:jc w:val="center"/>
              <w:rPr>
                <w:b/>
                <w:spacing w:val="6"/>
              </w:rPr>
            </w:pPr>
          </w:p>
          <w:p>
            <w:pPr>
              <w:jc w:val="center"/>
              <w:rPr>
                <w:b/>
                <w:spacing w:val="6"/>
                <w:lang w:val="en-BZ"/>
              </w:rPr>
            </w:pPr>
            <w:r>
              <w:rPr>
                <w:b/>
                <w:spacing w:val="6"/>
              </w:rPr>
              <w:t>Hồ Văn Hiển</w:t>
            </w:r>
          </w:p>
          <w:p>
            <w:pPr>
              <w:jc w:val="center"/>
              <w:rPr>
                <w:b/>
                <w:spacing w:val="6"/>
              </w:rPr>
            </w:pPr>
          </w:p>
          <w:p>
            <w:pPr>
              <w:jc w:val="center"/>
              <w:rPr>
                <w:b/>
                <w:spacing w:val="6"/>
              </w:rPr>
            </w:pPr>
          </w:p>
        </w:tc>
      </w:tr>
    </w:tbl>
    <w:p>
      <w:pPr>
        <w:jc w:val="both"/>
        <w:rPr>
          <w:sz w:val="14"/>
        </w:rPr>
      </w:pPr>
    </w:p>
    <w:sectPr>
      <w:footerReference w:type="even" r:id="rId9"/>
      <w:footerReference w:type="default" r:id="rId10"/>
      <w:type w:val="continuous"/>
      <w:pgSz w:w="11907" w:h="16840" w:code="9"/>
      <w:pgMar w:top="1134" w:right="851" w:bottom="1134" w:left="1701" w:header="720" w:footer="35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CC6113"/>
    <w:multiLevelType w:val="hybridMultilevel"/>
    <w:tmpl w:val="B42C8FD0"/>
    <w:lvl w:ilvl="0" w:tplc="10BA2FFE">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7462ACE"/>
    <w:multiLevelType w:val="hybridMultilevel"/>
    <w:tmpl w:val="82AED2C2"/>
    <w:lvl w:ilvl="0" w:tplc="D3027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A1208"/>
    <w:multiLevelType w:val="hybridMultilevel"/>
    <w:tmpl w:val="67DC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4BC62A34"/>
    <w:multiLevelType w:val="hybridMultilevel"/>
    <w:tmpl w:val="C3FC309A"/>
    <w:lvl w:ilvl="0" w:tplc="FB405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74DA2"/>
    <w:multiLevelType w:val="hybridMultilevel"/>
    <w:tmpl w:val="BF3A96B6"/>
    <w:lvl w:ilvl="0" w:tplc="E0969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022EF"/>
    <w:multiLevelType w:val="hybridMultilevel"/>
    <w:tmpl w:val="C8085BA4"/>
    <w:lvl w:ilvl="0" w:tplc="22FA18A4">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49173A"/>
    <w:multiLevelType w:val="hybridMultilevel"/>
    <w:tmpl w:val="B92A19DA"/>
    <w:lvl w:ilvl="0" w:tplc="04090013">
      <w:start w:val="1"/>
      <w:numFmt w:val="upperRoman"/>
      <w:lvlText w:val="%1."/>
      <w:lvlJc w:val="righ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nsid w:val="79836049"/>
    <w:multiLevelType w:val="hybridMultilevel"/>
    <w:tmpl w:val="734EF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5"/>
  </w:num>
  <w:num w:numId="6">
    <w:abstractNumId w:val="14"/>
  </w:num>
  <w:num w:numId="7">
    <w:abstractNumId w:val="18"/>
  </w:num>
  <w:num w:numId="8">
    <w:abstractNumId w:val="12"/>
  </w:num>
  <w:num w:numId="9">
    <w:abstractNumId w:val="8"/>
  </w:num>
  <w:num w:numId="10">
    <w:abstractNumId w:val="17"/>
  </w:num>
  <w:num w:numId="11">
    <w:abstractNumId w:val="6"/>
  </w:num>
  <w:num w:numId="12">
    <w:abstractNumId w:val="3"/>
  </w:num>
  <w:num w:numId="13">
    <w:abstractNumId w:val="16"/>
  </w:num>
  <w:num w:numId="14">
    <w:abstractNumId w:val="10"/>
  </w:num>
  <w:num w:numId="15">
    <w:abstractNumId w:val="1"/>
  </w:num>
  <w:num w:numId="16">
    <w:abstractNumId w:val="11"/>
  </w:num>
  <w:num w:numId="17">
    <w:abstractNumId w:val="13"/>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9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9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 w:id="15118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6E19-6272-4C00-9297-A9BA05B0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NAMA COMPUTER</cp:lastModifiedBy>
  <cp:revision>18</cp:revision>
  <cp:lastPrinted>2024-01-30T09:21:00Z</cp:lastPrinted>
  <dcterms:created xsi:type="dcterms:W3CDTF">2024-02-22T08:50:00Z</dcterms:created>
  <dcterms:modified xsi:type="dcterms:W3CDTF">2024-06-26T07:19:00Z</dcterms:modified>
</cp:coreProperties>
</file>